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11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44"/>
        <w:gridCol w:w="77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202312.0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5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6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4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7" w:history="1">
        <w:r w:rsidR="00A77B3E">
          <w:rPr>
            <w:rStyle w:val="Hyperlink"/>
            <w:rFonts w:ascii="Times New Roman" w:hAnsi="Times New Roman" w:cs="Times New Roman"/>
          </w:rPr>
          <w:t>Tabella 6: indicatori di output comuni e specifici per programma per il FSE+ – articolo 42, paragrafo 2, lettera b)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11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8" w:history="1">
        <w:r w:rsidR="00A77B3E">
          <w:rPr>
            <w:rStyle w:val="Hyperlink"/>
            <w:rFonts w:ascii="Times New Roman" w:hAnsi="Times New Roman" w:cs="Times New Roman"/>
          </w:rPr>
          <w:t>Tabella 10: indicatori di risultato comuni e specifici per programma per il FSE+ – articolo 42, paragrafo 2, lettera b)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17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9" w:history="1">
        <w:r w:rsidR="00A77B3E">
          <w:rPr>
            <w:rStyle w:val="Hyperlink"/>
            <w:rFonts w:ascii="Times New Roman" w:hAnsi="Times New Roman" w:cs="Times New Roman"/>
          </w:rPr>
          <w:t>Tabella 12: dati degli strumenti finanziari per i Fondi — articolo 42, paragrafo 3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20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5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23"/>
        <w:gridCol w:w="708"/>
        <w:gridCol w:w="427"/>
        <w:gridCol w:w="778"/>
        <w:gridCol w:w="1144"/>
        <w:gridCol w:w="1600"/>
        <w:gridCol w:w="1142"/>
        <w:gridCol w:w="1408"/>
        <w:gridCol w:w="1298"/>
        <w:gridCol w:w="1737"/>
        <w:gridCol w:w="1402"/>
        <w:gridCol w:w="2027"/>
        <w:gridCol w:w="100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28.245.184,70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14.579.999,85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31.659.999,67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20.999.999,78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40,0000004189%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3.200.000,00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5.257.000,00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36.600.000,00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63.318.000,00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51.245.000,00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11.587.716,00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39,9999965481%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289.692.900,00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6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50"/>
        <w:gridCol w:w="745"/>
        <w:gridCol w:w="427"/>
        <w:gridCol w:w="815"/>
        <w:gridCol w:w="789"/>
        <w:gridCol w:w="713"/>
        <w:gridCol w:w="1158"/>
        <w:gridCol w:w="1087"/>
        <w:gridCol w:w="991"/>
        <w:gridCol w:w="923"/>
        <w:gridCol w:w="1085"/>
        <w:gridCol w:w="1607"/>
        <w:gridCol w:w="1604"/>
        <w:gridCol w:w="1602"/>
        <w:gridCol w:w="11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2" w:name="_Toc256000007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6: indicatori di output comuni e specifici per programma per il FSE+ – articolo 42, paragrafo 2, lettera b)</w:t>
      </w:r>
      <w:bookmarkEnd w:id="2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31"/>
        <w:gridCol w:w="876"/>
        <w:gridCol w:w="390"/>
        <w:gridCol w:w="928"/>
        <w:gridCol w:w="491"/>
        <w:gridCol w:w="4504"/>
        <w:gridCol w:w="880"/>
        <w:gridCol w:w="1114"/>
        <w:gridCol w:w="491"/>
        <w:gridCol w:w="491"/>
        <w:gridCol w:w="491"/>
        <w:gridCol w:w="831"/>
        <w:gridCol w:w="383"/>
        <w:gridCol w:w="383"/>
        <w:gridCol w:w="383"/>
        <w:gridCol w:w="383"/>
        <w:gridCol w:w="265"/>
        <w:gridCol w:w="228"/>
        <w:gridCol w:w="245"/>
        <w:gridCol w:w="469"/>
        <w:gridCol w:w="64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8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superscript"/>
              </w:rPr>
              <w:t>1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10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Dati su tutti gli indicatori di output comuni di cui agli allegati I, II e III del regolamento FSE+ e sugli indicatori specifici per programma [estratti dalla tabella 2 dell'allegato V, punto 2.1.1.1.2 e della tabella 2 dell'allegato V, punto 2.1.1.2.2] </w:t>
            </w:r>
          </w:p>
        </w:tc>
        <w:tc>
          <w:tcPr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Avanzamento degli indicatori di output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ID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Unità di misura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Target intermedio (2024)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Target finale (2029) (ripartizione per genere facoltativa)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Valori raggiunti ad oggi 31/12/2023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Rapporto di conseguimento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Osservazioni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T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1.296,00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7.040,00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Progetti Finanziati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progetti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21.900,00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65.861,00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2.660,00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9.312,00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84,00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28.714,00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86.142,00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167,00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 svantaggiate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1.291,00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4.715,00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9.368,00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34.769,00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385,00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1.157,00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Giovani di età compresa fra i 18 e i 35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2.036,00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5.601,00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complessivo dei partecipanti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Disoccupati, compresi i 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Disoccupati di lungo periodo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Inattivi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Lavoratori dipendenti, compresi i lavoratori autonomi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Bambini di età inferiore a 18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giovani di età compresa tra i 18 e i 29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età superiore a 54 anni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EECO09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inferiore o più basso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secondaria superiore o di un diploma di istruzione post secondaria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titolari di un diploma di istruzione terziaria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con disabilità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Cittadini di paesi terzi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Partecipanti di origine straniera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Minoranze (comprese le comunità emarginate come i rom)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Senzatetto o persone colpite da esclusione abitativa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 xml:space="preserve">Partecipanti provenienti da zone rurali 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pubbliche amministrazioni o servizi pubblici sostenuti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entità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EECO19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micro, piccole e medie imprese sostenute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imprese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EESO01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Progetti Finanziati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Numero di progetti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  <w:vertAlign w:val="baseline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  <w:sectPr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3" w:name="_Toc256000008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10: indicatori di risultato comuni e specifici per programma per il FSE+ – articolo 42, paragrafo 2, lettera b)</w:t>
      </w:r>
      <w:bookmarkEnd w:id="3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361"/>
        <w:gridCol w:w="699"/>
        <w:gridCol w:w="325"/>
        <w:gridCol w:w="743"/>
        <w:gridCol w:w="405"/>
        <w:gridCol w:w="4024"/>
        <w:gridCol w:w="1945"/>
        <w:gridCol w:w="1039"/>
        <w:gridCol w:w="1058"/>
        <w:gridCol w:w="439"/>
        <w:gridCol w:w="439"/>
        <w:gridCol w:w="439"/>
        <w:gridCol w:w="548"/>
        <w:gridCol w:w="327"/>
        <w:gridCol w:w="327"/>
        <w:gridCol w:w="327"/>
        <w:gridCol w:w="327"/>
        <w:gridCol w:w="218"/>
        <w:gridCol w:w="187"/>
        <w:gridCol w:w="201"/>
        <w:gridCol w:w="386"/>
        <w:gridCol w:w="53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10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11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 xml:space="preserve">Dati su tutti gli indicatori di risultato comuni di cui agli allegati I, II e III del regolamento FSE+ e sugli indicatori specifici per programma [estratti dalla tabella 5 dell'allegato VII e tabella 3 dell'allegato V, punto 2.1.1.2.2] </w:t>
            </w:r>
          </w:p>
        </w:tc>
        <w:tc>
          <w:tcPr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Avanzamento degli indicatori di risultato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ID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Denominazione dell'indicatore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Indicatore di output utilizzato come base per fissare l'obiettivo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Unità di misura dell'indicatore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Unità di misura del target finale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Target finale (2029) (ripartizione per genere facoltativa)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Valori raggiunti ad oggi 31/12/2023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Rapporto di conseguimento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Osservazioni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M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T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41,65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33,40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mantengono il lavoro dopo 6 mesi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Numero di persone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95,00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95,00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Numero di servizi completamente implementati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100,00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92,00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33,00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EESR03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di persone che hanno usufruito completamente del servizio offerto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percentuale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97,00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cercano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in un percorso di istruzione o di formazione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ottengono una qualifica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alla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hanno un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 (N)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40,00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ESO4.1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EECR06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Partecipanti che godono di una migliore situazione sul mercato del lavoro sei mesi dopo la fine della loro partecipazione all'intervento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persone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4" w:name="_Toc256000009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12: dati degli strumenti finanziari per i Fondi — articolo 42, paragrafo 3</w:t>
      </w:r>
      <w:bookmarkEnd w:id="4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361"/>
        <w:gridCol w:w="325"/>
        <w:gridCol w:w="477"/>
        <w:gridCol w:w="491"/>
        <w:gridCol w:w="631"/>
        <w:gridCol w:w="650"/>
        <w:gridCol w:w="782"/>
        <w:gridCol w:w="1090"/>
        <w:gridCol w:w="631"/>
        <w:gridCol w:w="650"/>
        <w:gridCol w:w="782"/>
        <w:gridCol w:w="1090"/>
        <w:gridCol w:w="190"/>
        <w:gridCol w:w="524"/>
        <w:gridCol w:w="618"/>
        <w:gridCol w:w="665"/>
        <w:gridCol w:w="180"/>
        <w:gridCol w:w="495"/>
        <w:gridCol w:w="584"/>
        <w:gridCol w:w="628"/>
        <w:gridCol w:w="1025"/>
        <w:gridCol w:w="794"/>
        <w:gridCol w:w="163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Caratteristiche della spesa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Spese ammissibili per prodotto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delle risorse pubbliche e private mobilitate in aggiunta al contributo dei Fondi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Importo dei costi e delle commissioni di gestione dichiarati come spese ammissibili, (i costi e le commissioni di gestione devono essere riportati separatamente in caso di aggiudicazione diretta e in caso di procedura competitiva)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Interessi e altre plusvalenze generate dal sostegno dei Fondi agli strumenti finanziari di cui all'articolo 60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Risorse rientrate imputabili al sostegno dei Fondi di cui all'articolo 62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Per le garanzie, valore totale dei prestiti e degli investimenti azionari o quasi azionari nei confronti di destinatari finali garantiti con le risorse del programma ed effettivamente versati ai destinatari finali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Categoria di regione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Garanzia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 o quasi-azionario (codice della forma di sostegno per lo SF)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Sovvenzioni nell'ambito di un'operazione di strumenti finanziari (codice della forma di sostegno per lo SF)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di partecipazione a seconda del prodotto finanziario che opera all'interno della struttura del fondo di partecipazione</w:t>
            </w:r>
          </w:p>
        </w:tc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Costi e commissioni di gestione per fondi specifici (costituiti con o senza la struttura del fondo di partecipazione) per prodotto finanziario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Prestiti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Garanzie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  <w:t>Azionario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8"/>
              </w:rPr>
            </w:pP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8"/>
        </w:rPr>
      </w:pPr>
    </w:p>
    <w:sectPr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16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19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20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928"/>
      <w:gridCol w:w="3526"/>
      <w:gridCol w:w="5928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93"/>
      <w:gridCol w:w="4317"/>
      <w:gridCol w:w="5492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10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header" Target="header10.xml" /><Relationship Id="rId23" Type="http://schemas.openxmlformats.org/officeDocument/2006/relationships/header" Target="header11.xml" /><Relationship Id="rId24" Type="http://schemas.openxmlformats.org/officeDocument/2006/relationships/footer" Target="footer10.xml" /><Relationship Id="rId25" Type="http://schemas.openxmlformats.org/officeDocument/2006/relationships/footer" Target="footer11.xml" /><Relationship Id="rId26" Type="http://schemas.openxmlformats.org/officeDocument/2006/relationships/header" Target="header12.xml" /><Relationship Id="rId27" Type="http://schemas.openxmlformats.org/officeDocument/2006/relationships/footer" Target="footer12.xml" /><Relationship Id="rId28" Type="http://schemas.openxmlformats.org/officeDocument/2006/relationships/header" Target="header13.xml" /><Relationship Id="rId29" Type="http://schemas.openxmlformats.org/officeDocument/2006/relationships/header" Target="header14.xml" /><Relationship Id="rId3" Type="http://schemas.openxmlformats.org/officeDocument/2006/relationships/fontTable" Target="fontTable.xml" /><Relationship Id="rId30" Type="http://schemas.openxmlformats.org/officeDocument/2006/relationships/footer" Target="footer13.xml" /><Relationship Id="rId31" Type="http://schemas.openxmlformats.org/officeDocument/2006/relationships/footer" Target="footer14.xml" /><Relationship Id="rId32" Type="http://schemas.openxmlformats.org/officeDocument/2006/relationships/header" Target="header15.xml" /><Relationship Id="rId33" Type="http://schemas.openxmlformats.org/officeDocument/2006/relationships/footer" Target="footer15.xml" /><Relationship Id="rId34" Type="http://schemas.openxmlformats.org/officeDocument/2006/relationships/header" Target="header16.xml" /><Relationship Id="rId35" Type="http://schemas.openxmlformats.org/officeDocument/2006/relationships/header" Target="header17.xml" /><Relationship Id="rId36" Type="http://schemas.openxmlformats.org/officeDocument/2006/relationships/footer" Target="footer16.xml" /><Relationship Id="rId37" Type="http://schemas.openxmlformats.org/officeDocument/2006/relationships/footer" Target="footer17.xml" /><Relationship Id="rId38" Type="http://schemas.openxmlformats.org/officeDocument/2006/relationships/header" Target="header18.xml" /><Relationship Id="rId39" Type="http://schemas.openxmlformats.org/officeDocument/2006/relationships/footer" Target="footer18.xml" /><Relationship Id="rId4" Type="http://schemas.openxmlformats.org/officeDocument/2006/relationships/header" Target="header1.xml" /><Relationship Id="rId40" Type="http://schemas.openxmlformats.org/officeDocument/2006/relationships/theme" Target="theme/theme1.xml" /><Relationship Id="rId41" Type="http://schemas.openxmlformats.org/officeDocument/2006/relationships/styles" Target="styles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20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